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6CDC" w14:textId="6C2A2FDF" w:rsidR="00552B9A" w:rsidRDefault="00C77EF6">
      <w:r>
        <w:t xml:space="preserve">Selv om arbeidet med </w:t>
      </w:r>
      <w:r w:rsidR="00332AC7">
        <w:t xml:space="preserve">omstilling </w:t>
      </w:r>
      <w:r w:rsidR="00E70F0B">
        <w:t xml:space="preserve">har stoppet litt opp på grunn av Covid-19 </w:t>
      </w:r>
      <w:r w:rsidR="00A53961">
        <w:t>er store deler av innsparingskravet for 2020 løst</w:t>
      </w:r>
      <w:r w:rsidR="00FE7451">
        <w:t>,</w:t>
      </w:r>
      <w:r w:rsidR="00A53961">
        <w:t xml:space="preserve"> av de totalt kr 76 millioner som skal spares </w:t>
      </w:r>
      <w:r w:rsidR="00F803F3">
        <w:t xml:space="preserve">gjenstår kr 9 millioner. </w:t>
      </w:r>
      <w:r w:rsidR="00FE7451">
        <w:t xml:space="preserve">For 2021 </w:t>
      </w:r>
      <w:r w:rsidR="00F45839">
        <w:t xml:space="preserve">må det finnes løsninger for om lag kr 35 millioner. </w:t>
      </w:r>
      <w:r w:rsidR="00687405">
        <w:t xml:space="preserve">Omstillingstiltakene er beskrevet under </w:t>
      </w:r>
      <w:r w:rsidR="00851D28">
        <w:t xml:space="preserve">hvert tjenesteområde i perioderapporten. </w:t>
      </w:r>
    </w:p>
    <w:p w14:paraId="297B6531" w14:textId="48EF63B6" w:rsidR="00BD723A" w:rsidRDefault="00BD723A">
      <w:r>
        <w:t>Fø</w:t>
      </w:r>
      <w:r w:rsidR="00FA179B">
        <w:t xml:space="preserve">lgende </w:t>
      </w:r>
      <w:r w:rsidR="002F45A9">
        <w:t>omstillings</w:t>
      </w:r>
      <w:r w:rsidR="00FA179B">
        <w:t xml:space="preserve">tiltak </w:t>
      </w:r>
      <w:r w:rsidR="00C6534C">
        <w:t xml:space="preserve">fremmes til vedtak </w:t>
      </w:r>
    </w:p>
    <w:tbl>
      <w:tblPr>
        <w:tblW w:w="0" w:type="auto"/>
        <w:tblCellMar>
          <w:left w:w="70" w:type="dxa"/>
          <w:right w:w="70" w:type="dxa"/>
        </w:tblCellMar>
        <w:tblLook w:val="04A0" w:firstRow="1" w:lastRow="0" w:firstColumn="1" w:lastColumn="0" w:noHBand="0" w:noVBand="1"/>
      </w:tblPr>
      <w:tblGrid>
        <w:gridCol w:w="4122"/>
        <w:gridCol w:w="978"/>
        <w:gridCol w:w="979"/>
        <w:gridCol w:w="979"/>
        <w:gridCol w:w="979"/>
        <w:gridCol w:w="979"/>
      </w:tblGrid>
      <w:tr w:rsidR="009F421C" w:rsidRPr="009F421C" w14:paraId="2A52D32D" w14:textId="77777777" w:rsidTr="009F421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7B7B7B"/>
            <w:vAlign w:val="center"/>
            <w:hideMark/>
          </w:tcPr>
          <w:p w14:paraId="7201ADCF" w14:textId="77777777" w:rsidR="009F421C" w:rsidRPr="009F421C" w:rsidRDefault="009F421C" w:rsidP="009F421C">
            <w:pPr>
              <w:spacing w:after="0" w:line="240" w:lineRule="auto"/>
              <w:rPr>
                <w:rFonts w:ascii="Arial" w:eastAsia="Times New Roman" w:hAnsi="Arial" w:cs="Arial"/>
                <w:b/>
                <w:bCs/>
                <w:color w:val="FFFFFF"/>
                <w:sz w:val="20"/>
                <w:szCs w:val="20"/>
                <w:lang w:eastAsia="nb-NO"/>
              </w:rPr>
            </w:pPr>
            <w:r w:rsidRPr="009F421C">
              <w:rPr>
                <w:rFonts w:ascii="Arial" w:eastAsia="Times New Roman" w:hAnsi="Arial" w:cs="Arial"/>
                <w:b/>
                <w:bCs/>
                <w:color w:val="FFFFFF"/>
                <w:sz w:val="20"/>
                <w:szCs w:val="20"/>
                <w:lang w:eastAsia="nb-NO"/>
              </w:rPr>
              <w:t>Forslag innsparingstiltak ferdig utredet</w:t>
            </w:r>
          </w:p>
        </w:tc>
        <w:tc>
          <w:tcPr>
            <w:tcW w:w="0" w:type="auto"/>
            <w:tcBorders>
              <w:top w:val="single" w:sz="4" w:space="0" w:color="auto"/>
              <w:left w:val="nil"/>
              <w:bottom w:val="single" w:sz="4" w:space="0" w:color="auto"/>
              <w:right w:val="single" w:sz="4" w:space="0" w:color="auto"/>
            </w:tcBorders>
            <w:shd w:val="clear" w:color="000000" w:fill="7B7B7B"/>
            <w:vAlign w:val="center"/>
            <w:hideMark/>
          </w:tcPr>
          <w:p w14:paraId="4575D722" w14:textId="77777777" w:rsidR="009F421C" w:rsidRPr="009F421C" w:rsidRDefault="009F421C" w:rsidP="009F421C">
            <w:pPr>
              <w:spacing w:after="0" w:line="240" w:lineRule="auto"/>
              <w:jc w:val="center"/>
              <w:rPr>
                <w:rFonts w:ascii="Arial" w:eastAsia="Times New Roman" w:hAnsi="Arial" w:cs="Arial"/>
                <w:b/>
                <w:bCs/>
                <w:color w:val="FFFFFF"/>
                <w:sz w:val="20"/>
                <w:szCs w:val="20"/>
                <w:lang w:eastAsia="nb-NO"/>
              </w:rPr>
            </w:pPr>
            <w:r w:rsidRPr="009F421C">
              <w:rPr>
                <w:rFonts w:ascii="Arial" w:eastAsia="Times New Roman" w:hAnsi="Arial" w:cs="Arial"/>
                <w:b/>
                <w:bCs/>
                <w:color w:val="FFFFFF"/>
                <w:sz w:val="20"/>
                <w:szCs w:val="20"/>
                <w:lang w:eastAsia="nb-NO"/>
              </w:rPr>
              <w:t>2020</w:t>
            </w:r>
          </w:p>
        </w:tc>
        <w:tc>
          <w:tcPr>
            <w:tcW w:w="0" w:type="auto"/>
            <w:tcBorders>
              <w:top w:val="single" w:sz="4" w:space="0" w:color="auto"/>
              <w:left w:val="nil"/>
              <w:bottom w:val="single" w:sz="4" w:space="0" w:color="auto"/>
              <w:right w:val="single" w:sz="4" w:space="0" w:color="auto"/>
            </w:tcBorders>
            <w:shd w:val="clear" w:color="000000" w:fill="7B7B7B"/>
            <w:vAlign w:val="center"/>
            <w:hideMark/>
          </w:tcPr>
          <w:p w14:paraId="54CB13C9" w14:textId="77777777" w:rsidR="009F421C" w:rsidRPr="009F421C" w:rsidRDefault="009F421C" w:rsidP="009F421C">
            <w:pPr>
              <w:spacing w:after="0" w:line="240" w:lineRule="auto"/>
              <w:jc w:val="center"/>
              <w:rPr>
                <w:rFonts w:ascii="Arial" w:eastAsia="Times New Roman" w:hAnsi="Arial" w:cs="Arial"/>
                <w:b/>
                <w:bCs/>
                <w:color w:val="FFFFFF"/>
                <w:sz w:val="20"/>
                <w:szCs w:val="20"/>
                <w:lang w:eastAsia="nb-NO"/>
              </w:rPr>
            </w:pPr>
            <w:r w:rsidRPr="009F421C">
              <w:rPr>
                <w:rFonts w:ascii="Arial" w:eastAsia="Times New Roman" w:hAnsi="Arial" w:cs="Arial"/>
                <w:b/>
                <w:bCs/>
                <w:color w:val="FFFFFF"/>
                <w:sz w:val="20"/>
                <w:szCs w:val="20"/>
                <w:lang w:eastAsia="nb-NO"/>
              </w:rPr>
              <w:t>2021</w:t>
            </w:r>
          </w:p>
        </w:tc>
        <w:tc>
          <w:tcPr>
            <w:tcW w:w="0" w:type="auto"/>
            <w:tcBorders>
              <w:top w:val="single" w:sz="4" w:space="0" w:color="auto"/>
              <w:left w:val="nil"/>
              <w:bottom w:val="single" w:sz="4" w:space="0" w:color="auto"/>
              <w:right w:val="single" w:sz="4" w:space="0" w:color="auto"/>
            </w:tcBorders>
            <w:shd w:val="clear" w:color="000000" w:fill="7B7B7B"/>
            <w:vAlign w:val="center"/>
            <w:hideMark/>
          </w:tcPr>
          <w:p w14:paraId="0DC2D718" w14:textId="77777777" w:rsidR="009F421C" w:rsidRPr="009F421C" w:rsidRDefault="009F421C" w:rsidP="009F421C">
            <w:pPr>
              <w:spacing w:after="0" w:line="240" w:lineRule="auto"/>
              <w:jc w:val="center"/>
              <w:rPr>
                <w:rFonts w:ascii="Arial" w:eastAsia="Times New Roman" w:hAnsi="Arial" w:cs="Arial"/>
                <w:b/>
                <w:bCs/>
                <w:color w:val="FFFFFF"/>
                <w:sz w:val="20"/>
                <w:szCs w:val="20"/>
                <w:lang w:eastAsia="nb-NO"/>
              </w:rPr>
            </w:pPr>
            <w:r w:rsidRPr="009F421C">
              <w:rPr>
                <w:rFonts w:ascii="Arial" w:eastAsia="Times New Roman" w:hAnsi="Arial" w:cs="Arial"/>
                <w:b/>
                <w:bCs/>
                <w:color w:val="FFFFFF"/>
                <w:sz w:val="20"/>
                <w:szCs w:val="20"/>
                <w:lang w:eastAsia="nb-NO"/>
              </w:rPr>
              <w:t>2022</w:t>
            </w:r>
          </w:p>
        </w:tc>
        <w:tc>
          <w:tcPr>
            <w:tcW w:w="0" w:type="auto"/>
            <w:tcBorders>
              <w:top w:val="single" w:sz="4" w:space="0" w:color="auto"/>
              <w:left w:val="nil"/>
              <w:bottom w:val="single" w:sz="4" w:space="0" w:color="auto"/>
              <w:right w:val="single" w:sz="4" w:space="0" w:color="auto"/>
            </w:tcBorders>
            <w:shd w:val="clear" w:color="000000" w:fill="7B7B7B"/>
            <w:vAlign w:val="center"/>
            <w:hideMark/>
          </w:tcPr>
          <w:p w14:paraId="06C27BBB" w14:textId="77777777" w:rsidR="009F421C" w:rsidRPr="009F421C" w:rsidRDefault="009F421C" w:rsidP="009F421C">
            <w:pPr>
              <w:spacing w:after="0" w:line="240" w:lineRule="auto"/>
              <w:jc w:val="center"/>
              <w:rPr>
                <w:rFonts w:ascii="Arial" w:eastAsia="Times New Roman" w:hAnsi="Arial" w:cs="Arial"/>
                <w:b/>
                <w:bCs/>
                <w:color w:val="FFFFFF"/>
                <w:sz w:val="20"/>
                <w:szCs w:val="20"/>
                <w:lang w:eastAsia="nb-NO"/>
              </w:rPr>
            </w:pPr>
            <w:r w:rsidRPr="009F421C">
              <w:rPr>
                <w:rFonts w:ascii="Arial" w:eastAsia="Times New Roman" w:hAnsi="Arial" w:cs="Arial"/>
                <w:b/>
                <w:bCs/>
                <w:color w:val="FFFFFF"/>
                <w:sz w:val="20"/>
                <w:szCs w:val="20"/>
                <w:lang w:eastAsia="nb-NO"/>
              </w:rPr>
              <w:t>2023</w:t>
            </w:r>
          </w:p>
        </w:tc>
        <w:tc>
          <w:tcPr>
            <w:tcW w:w="0" w:type="auto"/>
            <w:tcBorders>
              <w:top w:val="single" w:sz="4" w:space="0" w:color="auto"/>
              <w:left w:val="nil"/>
              <w:bottom w:val="single" w:sz="4" w:space="0" w:color="auto"/>
              <w:right w:val="single" w:sz="4" w:space="0" w:color="auto"/>
            </w:tcBorders>
            <w:shd w:val="clear" w:color="000000" w:fill="7B7B7B"/>
            <w:vAlign w:val="center"/>
            <w:hideMark/>
          </w:tcPr>
          <w:p w14:paraId="6E115766" w14:textId="77777777" w:rsidR="009F421C" w:rsidRPr="009F421C" w:rsidRDefault="009F421C" w:rsidP="009F421C">
            <w:pPr>
              <w:spacing w:after="0" w:line="240" w:lineRule="auto"/>
              <w:jc w:val="center"/>
              <w:rPr>
                <w:rFonts w:ascii="Arial" w:eastAsia="Times New Roman" w:hAnsi="Arial" w:cs="Arial"/>
                <w:b/>
                <w:bCs/>
                <w:color w:val="FFFFFF"/>
                <w:sz w:val="20"/>
                <w:szCs w:val="20"/>
                <w:lang w:eastAsia="nb-NO"/>
              </w:rPr>
            </w:pPr>
            <w:r w:rsidRPr="009F421C">
              <w:rPr>
                <w:rFonts w:ascii="Arial" w:eastAsia="Times New Roman" w:hAnsi="Arial" w:cs="Arial"/>
                <w:b/>
                <w:bCs/>
                <w:color w:val="FFFFFF"/>
                <w:sz w:val="20"/>
                <w:szCs w:val="20"/>
                <w:lang w:eastAsia="nb-NO"/>
              </w:rPr>
              <w:t>2024</w:t>
            </w:r>
          </w:p>
        </w:tc>
      </w:tr>
      <w:tr w:rsidR="009F421C" w:rsidRPr="009F421C" w14:paraId="3B4EE261" w14:textId="77777777" w:rsidTr="009F421C">
        <w:trPr>
          <w:trHeight w:val="51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67C2736"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1. Avvikle dobbeltrom </w:t>
            </w:r>
          </w:p>
        </w:tc>
        <w:tc>
          <w:tcPr>
            <w:tcW w:w="0" w:type="auto"/>
            <w:tcBorders>
              <w:top w:val="nil"/>
              <w:left w:val="nil"/>
              <w:bottom w:val="single" w:sz="4" w:space="0" w:color="auto"/>
              <w:right w:val="single" w:sz="4" w:space="0" w:color="auto"/>
            </w:tcBorders>
            <w:shd w:val="clear" w:color="auto" w:fill="auto"/>
            <w:vAlign w:val="center"/>
            <w:hideMark/>
          </w:tcPr>
          <w:p w14:paraId="23F90F7F"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-1 000</w:t>
            </w:r>
          </w:p>
        </w:tc>
        <w:tc>
          <w:tcPr>
            <w:tcW w:w="0" w:type="auto"/>
            <w:tcBorders>
              <w:top w:val="nil"/>
              <w:left w:val="nil"/>
              <w:bottom w:val="single" w:sz="4" w:space="0" w:color="auto"/>
              <w:right w:val="single" w:sz="4" w:space="0" w:color="auto"/>
            </w:tcBorders>
            <w:shd w:val="clear" w:color="auto" w:fill="auto"/>
            <w:vAlign w:val="center"/>
            <w:hideMark/>
          </w:tcPr>
          <w:p w14:paraId="24D43C8D"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-4 400</w:t>
            </w:r>
          </w:p>
        </w:tc>
        <w:tc>
          <w:tcPr>
            <w:tcW w:w="0" w:type="auto"/>
            <w:tcBorders>
              <w:top w:val="nil"/>
              <w:left w:val="nil"/>
              <w:bottom w:val="single" w:sz="4" w:space="0" w:color="auto"/>
              <w:right w:val="single" w:sz="4" w:space="0" w:color="auto"/>
            </w:tcBorders>
            <w:shd w:val="clear" w:color="auto" w:fill="auto"/>
            <w:vAlign w:val="center"/>
            <w:hideMark/>
          </w:tcPr>
          <w:p w14:paraId="7D23B6A6"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-4 400</w:t>
            </w:r>
          </w:p>
        </w:tc>
        <w:tc>
          <w:tcPr>
            <w:tcW w:w="0" w:type="auto"/>
            <w:tcBorders>
              <w:top w:val="nil"/>
              <w:left w:val="nil"/>
              <w:bottom w:val="single" w:sz="4" w:space="0" w:color="auto"/>
              <w:right w:val="single" w:sz="4" w:space="0" w:color="auto"/>
            </w:tcBorders>
            <w:shd w:val="clear" w:color="auto" w:fill="auto"/>
            <w:vAlign w:val="center"/>
            <w:hideMark/>
          </w:tcPr>
          <w:p w14:paraId="5E22FECE"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-4 400</w:t>
            </w:r>
          </w:p>
        </w:tc>
        <w:tc>
          <w:tcPr>
            <w:tcW w:w="0" w:type="auto"/>
            <w:tcBorders>
              <w:top w:val="nil"/>
              <w:left w:val="nil"/>
              <w:bottom w:val="single" w:sz="4" w:space="0" w:color="auto"/>
              <w:right w:val="single" w:sz="4" w:space="0" w:color="auto"/>
            </w:tcBorders>
            <w:shd w:val="clear" w:color="auto" w:fill="auto"/>
            <w:vAlign w:val="center"/>
            <w:hideMark/>
          </w:tcPr>
          <w:p w14:paraId="7F961274"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-4 400</w:t>
            </w:r>
          </w:p>
        </w:tc>
      </w:tr>
      <w:tr w:rsidR="009F421C" w:rsidRPr="009F421C" w14:paraId="6E61D240" w14:textId="77777777" w:rsidTr="009F421C">
        <w:trPr>
          <w:trHeight w:val="3030"/>
        </w:trPr>
        <w:tc>
          <w:tcPr>
            <w:tcW w:w="0" w:type="auto"/>
            <w:gridSpan w:val="6"/>
            <w:tcBorders>
              <w:top w:val="nil"/>
              <w:left w:val="single" w:sz="4" w:space="0" w:color="auto"/>
              <w:bottom w:val="single" w:sz="4" w:space="0" w:color="auto"/>
              <w:right w:val="single" w:sz="4" w:space="0" w:color="000000"/>
            </w:tcBorders>
            <w:shd w:val="clear" w:color="auto" w:fill="auto"/>
            <w:hideMark/>
          </w:tcPr>
          <w:p w14:paraId="5C4F6EFD"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Sandnes har i dag flere dobbeltrom for sykehjemsbeboere med en uhensiktsmessig romløsning. Adkomst til den ene beboeren er enten gjennom bad eller rett forbi den andre beboeren. Det er nasjonale føringer på at beboere skal tilbys enerom og det har i lang tid vært en forutsetning at dobbeltrom skulle avvikles. I tekstvedtak i HØP 2020-2023 vises det til denne utfordringen. Sandnes har en dekningsgrad av </w:t>
            </w:r>
            <w:proofErr w:type="spellStart"/>
            <w:r w:rsidRPr="009F421C">
              <w:rPr>
                <w:rFonts w:ascii="Arial" w:eastAsia="Times New Roman" w:hAnsi="Arial" w:cs="Arial"/>
                <w:sz w:val="20"/>
                <w:szCs w:val="20"/>
                <w:lang w:eastAsia="nb-NO"/>
              </w:rPr>
              <w:t>heldøgnsplasser</w:t>
            </w:r>
            <w:proofErr w:type="spellEnd"/>
            <w:r w:rsidRPr="009F421C">
              <w:rPr>
                <w:rFonts w:ascii="Arial" w:eastAsia="Times New Roman" w:hAnsi="Arial" w:cs="Arial"/>
                <w:sz w:val="20"/>
                <w:szCs w:val="20"/>
                <w:lang w:eastAsia="nb-NO"/>
              </w:rPr>
              <w:t xml:space="preserve"> for eldre over 80 år på 21,1 prosent. Ved fjerning av 8 plasser i dobbeltrom vil dekningsgraden bli 20,8 prosent. Avvikling av senger kan gi større press på utskrivningsklare pasienter fra sykehuset. Tiltaket vil bety innsparing av 6 årsverk, tilsvarende kr 1 millioner i 2020 avhengig av omplasseringsmuligheter for de ansatte, og med helårsvirkning kr 4,4 millioner fra 2021. De berørte ansatte vil omfattes av kommunens omstillingsavtale og få sitt arbeid i andre avdelinger.</w:t>
            </w:r>
          </w:p>
        </w:tc>
      </w:tr>
      <w:tr w:rsidR="009F421C" w:rsidRPr="009F421C" w14:paraId="59B2CEEA" w14:textId="77777777" w:rsidTr="009F421C">
        <w:trPr>
          <w:trHeight w:val="10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9CBC222"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2. Redusere årsverk i hjemmetjenesten</w:t>
            </w:r>
          </w:p>
        </w:tc>
        <w:tc>
          <w:tcPr>
            <w:tcW w:w="0" w:type="auto"/>
            <w:tcBorders>
              <w:top w:val="nil"/>
              <w:left w:val="nil"/>
              <w:bottom w:val="single" w:sz="4" w:space="0" w:color="auto"/>
              <w:right w:val="single" w:sz="4" w:space="0" w:color="auto"/>
            </w:tcBorders>
            <w:shd w:val="clear" w:color="auto" w:fill="auto"/>
            <w:vAlign w:val="center"/>
            <w:hideMark/>
          </w:tcPr>
          <w:p w14:paraId="58E366F2"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-700</w:t>
            </w:r>
          </w:p>
        </w:tc>
        <w:tc>
          <w:tcPr>
            <w:tcW w:w="0" w:type="auto"/>
            <w:tcBorders>
              <w:top w:val="nil"/>
              <w:left w:val="nil"/>
              <w:bottom w:val="single" w:sz="4" w:space="0" w:color="auto"/>
              <w:right w:val="single" w:sz="4" w:space="0" w:color="auto"/>
            </w:tcBorders>
            <w:shd w:val="clear" w:color="auto" w:fill="auto"/>
            <w:vAlign w:val="center"/>
            <w:hideMark/>
          </w:tcPr>
          <w:p w14:paraId="26F12E87"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-1 900</w:t>
            </w:r>
          </w:p>
        </w:tc>
        <w:tc>
          <w:tcPr>
            <w:tcW w:w="0" w:type="auto"/>
            <w:tcBorders>
              <w:top w:val="nil"/>
              <w:left w:val="nil"/>
              <w:bottom w:val="single" w:sz="4" w:space="0" w:color="auto"/>
              <w:right w:val="single" w:sz="4" w:space="0" w:color="auto"/>
            </w:tcBorders>
            <w:shd w:val="clear" w:color="auto" w:fill="auto"/>
            <w:vAlign w:val="center"/>
            <w:hideMark/>
          </w:tcPr>
          <w:p w14:paraId="0D92B801"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-1 900</w:t>
            </w:r>
          </w:p>
        </w:tc>
        <w:tc>
          <w:tcPr>
            <w:tcW w:w="0" w:type="auto"/>
            <w:tcBorders>
              <w:top w:val="nil"/>
              <w:left w:val="nil"/>
              <w:bottom w:val="single" w:sz="4" w:space="0" w:color="auto"/>
              <w:right w:val="single" w:sz="4" w:space="0" w:color="auto"/>
            </w:tcBorders>
            <w:shd w:val="clear" w:color="auto" w:fill="auto"/>
            <w:vAlign w:val="center"/>
            <w:hideMark/>
          </w:tcPr>
          <w:p w14:paraId="50A9B25D"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-1 900</w:t>
            </w:r>
          </w:p>
        </w:tc>
        <w:tc>
          <w:tcPr>
            <w:tcW w:w="0" w:type="auto"/>
            <w:tcBorders>
              <w:top w:val="nil"/>
              <w:left w:val="nil"/>
              <w:bottom w:val="single" w:sz="4" w:space="0" w:color="auto"/>
              <w:right w:val="single" w:sz="4" w:space="0" w:color="auto"/>
            </w:tcBorders>
            <w:shd w:val="clear" w:color="auto" w:fill="auto"/>
            <w:vAlign w:val="center"/>
            <w:hideMark/>
          </w:tcPr>
          <w:p w14:paraId="192C75E0"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-1 900</w:t>
            </w:r>
          </w:p>
        </w:tc>
      </w:tr>
      <w:tr w:rsidR="009F421C" w:rsidRPr="009F421C" w14:paraId="3E31E3CF" w14:textId="77777777" w:rsidTr="009F421C">
        <w:trPr>
          <w:trHeight w:val="2235"/>
        </w:trPr>
        <w:tc>
          <w:tcPr>
            <w:tcW w:w="0" w:type="auto"/>
            <w:gridSpan w:val="6"/>
            <w:tcBorders>
              <w:top w:val="nil"/>
              <w:left w:val="single" w:sz="4" w:space="0" w:color="auto"/>
              <w:bottom w:val="single" w:sz="4" w:space="0" w:color="auto"/>
              <w:right w:val="single" w:sz="4" w:space="0" w:color="000000"/>
            </w:tcBorders>
            <w:shd w:val="clear" w:color="auto" w:fill="auto"/>
            <w:hideMark/>
          </w:tcPr>
          <w:p w14:paraId="3BB8DE38"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For å møte veksten i eldrebefolkningen og at eldre skal bo lengst mulig hjemme er det avgjørende med tilstrekkelige hjemmetjenester. Det forslås likevel å redusere 2,5 årsverk i hjemmetjenesten. Reduksjonen i årsverk kommer i tillegg til tidligere kutt på samme område vedtatt i KS-sak 1/20. Dette vil medføre redusert kvalitet og omfang av tjenester til hjemmeboende. På sikt kan dette svekke hjemmetjenestens evne til å bidra til at flest mulig skal bo lengst mulig hjemme. Innsparingen vil være 0,7 millioner kroner for 2020. Helårsvirkning fra 2021 er 1,9 millioner kroner. Reduksjonen gjennomføres ved naturlig avgang der en ikke ansetter i ledige stillinger.</w:t>
            </w:r>
          </w:p>
        </w:tc>
      </w:tr>
      <w:tr w:rsidR="009F421C" w:rsidRPr="009F421C" w14:paraId="3F150214" w14:textId="77777777" w:rsidTr="009F421C">
        <w:trPr>
          <w:trHeight w:val="51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1AFD5165"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3. Kutte 3 plasser VTA </w:t>
            </w:r>
          </w:p>
        </w:tc>
        <w:tc>
          <w:tcPr>
            <w:tcW w:w="0" w:type="auto"/>
            <w:tcBorders>
              <w:top w:val="nil"/>
              <w:left w:val="nil"/>
              <w:bottom w:val="single" w:sz="4" w:space="0" w:color="auto"/>
              <w:right w:val="single" w:sz="4" w:space="0" w:color="auto"/>
            </w:tcBorders>
            <w:shd w:val="clear" w:color="auto" w:fill="auto"/>
            <w:vAlign w:val="center"/>
            <w:hideMark/>
          </w:tcPr>
          <w:p w14:paraId="03285754"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w:t>
            </w:r>
          </w:p>
        </w:tc>
        <w:tc>
          <w:tcPr>
            <w:tcW w:w="0" w:type="auto"/>
            <w:tcBorders>
              <w:top w:val="nil"/>
              <w:left w:val="nil"/>
              <w:bottom w:val="single" w:sz="4" w:space="0" w:color="auto"/>
              <w:right w:val="single" w:sz="4" w:space="0" w:color="auto"/>
            </w:tcBorders>
            <w:shd w:val="clear" w:color="auto" w:fill="auto"/>
            <w:vAlign w:val="center"/>
            <w:hideMark/>
          </w:tcPr>
          <w:p w14:paraId="3DAAD781"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-650</w:t>
            </w:r>
          </w:p>
        </w:tc>
        <w:tc>
          <w:tcPr>
            <w:tcW w:w="0" w:type="auto"/>
            <w:tcBorders>
              <w:top w:val="nil"/>
              <w:left w:val="nil"/>
              <w:bottom w:val="single" w:sz="4" w:space="0" w:color="auto"/>
              <w:right w:val="single" w:sz="4" w:space="0" w:color="auto"/>
            </w:tcBorders>
            <w:shd w:val="clear" w:color="auto" w:fill="auto"/>
            <w:vAlign w:val="center"/>
            <w:hideMark/>
          </w:tcPr>
          <w:p w14:paraId="5E1A4D3A"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-650</w:t>
            </w:r>
          </w:p>
        </w:tc>
        <w:tc>
          <w:tcPr>
            <w:tcW w:w="0" w:type="auto"/>
            <w:tcBorders>
              <w:top w:val="nil"/>
              <w:left w:val="nil"/>
              <w:bottom w:val="single" w:sz="4" w:space="0" w:color="auto"/>
              <w:right w:val="single" w:sz="4" w:space="0" w:color="auto"/>
            </w:tcBorders>
            <w:shd w:val="clear" w:color="auto" w:fill="auto"/>
            <w:vAlign w:val="center"/>
            <w:hideMark/>
          </w:tcPr>
          <w:p w14:paraId="321180FD"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-650</w:t>
            </w:r>
          </w:p>
        </w:tc>
        <w:tc>
          <w:tcPr>
            <w:tcW w:w="0" w:type="auto"/>
            <w:tcBorders>
              <w:top w:val="nil"/>
              <w:left w:val="nil"/>
              <w:bottom w:val="single" w:sz="4" w:space="0" w:color="auto"/>
              <w:right w:val="single" w:sz="4" w:space="0" w:color="auto"/>
            </w:tcBorders>
            <w:shd w:val="clear" w:color="auto" w:fill="auto"/>
            <w:vAlign w:val="center"/>
            <w:hideMark/>
          </w:tcPr>
          <w:p w14:paraId="648E385C"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-650</w:t>
            </w:r>
          </w:p>
        </w:tc>
      </w:tr>
      <w:tr w:rsidR="009F421C" w:rsidRPr="009F421C" w14:paraId="53D2EF87" w14:textId="77777777" w:rsidTr="009F421C">
        <w:trPr>
          <w:trHeight w:val="1260"/>
        </w:trPr>
        <w:tc>
          <w:tcPr>
            <w:tcW w:w="0" w:type="auto"/>
            <w:gridSpan w:val="6"/>
            <w:tcBorders>
              <w:top w:val="nil"/>
              <w:left w:val="single" w:sz="4" w:space="0" w:color="auto"/>
              <w:bottom w:val="single" w:sz="4" w:space="0" w:color="auto"/>
              <w:right w:val="single" w:sz="4" w:space="0" w:color="000000"/>
            </w:tcBorders>
            <w:shd w:val="clear" w:color="auto" w:fill="auto"/>
            <w:hideMark/>
          </w:tcPr>
          <w:p w14:paraId="23FD9F3F"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9 personer med psykiske lidelser deler 3 VTA-plasser i Sandnes Proservice. Kommunen dekker kostnadene til plassene fullt ut. Det foreslås å legge ned tilbudet. Dette vil gi de aktuelle deltakerne et dårligere tilbud. På grunn av oppsigelsestid i tiltaket vil innsparingen vil være redusert i 2020, med helårsvirkning 650 000 kroner fra 2021.</w:t>
            </w:r>
          </w:p>
        </w:tc>
      </w:tr>
      <w:tr w:rsidR="009F421C" w:rsidRPr="009F421C" w14:paraId="58CF7BA7" w14:textId="77777777" w:rsidTr="009F421C">
        <w:trPr>
          <w:trHeight w:val="76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5E3BFE5C"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4. Redusert finansiering VTA </w:t>
            </w:r>
          </w:p>
        </w:tc>
        <w:tc>
          <w:tcPr>
            <w:tcW w:w="0" w:type="auto"/>
            <w:tcBorders>
              <w:top w:val="nil"/>
              <w:left w:val="nil"/>
              <w:bottom w:val="single" w:sz="4" w:space="0" w:color="auto"/>
              <w:right w:val="single" w:sz="4" w:space="0" w:color="auto"/>
            </w:tcBorders>
            <w:shd w:val="clear" w:color="auto" w:fill="auto"/>
            <w:vAlign w:val="center"/>
            <w:hideMark/>
          </w:tcPr>
          <w:p w14:paraId="3E99F3FA"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w:t>
            </w:r>
          </w:p>
        </w:tc>
        <w:tc>
          <w:tcPr>
            <w:tcW w:w="0" w:type="auto"/>
            <w:tcBorders>
              <w:top w:val="nil"/>
              <w:left w:val="nil"/>
              <w:bottom w:val="single" w:sz="4" w:space="0" w:color="auto"/>
              <w:right w:val="single" w:sz="4" w:space="0" w:color="auto"/>
            </w:tcBorders>
            <w:shd w:val="clear" w:color="auto" w:fill="auto"/>
            <w:vAlign w:val="center"/>
            <w:hideMark/>
          </w:tcPr>
          <w:p w14:paraId="33318E85"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-800</w:t>
            </w:r>
          </w:p>
        </w:tc>
        <w:tc>
          <w:tcPr>
            <w:tcW w:w="0" w:type="auto"/>
            <w:tcBorders>
              <w:top w:val="nil"/>
              <w:left w:val="nil"/>
              <w:bottom w:val="single" w:sz="4" w:space="0" w:color="auto"/>
              <w:right w:val="single" w:sz="4" w:space="0" w:color="auto"/>
            </w:tcBorders>
            <w:shd w:val="clear" w:color="auto" w:fill="auto"/>
            <w:vAlign w:val="center"/>
            <w:hideMark/>
          </w:tcPr>
          <w:p w14:paraId="0F354FD9"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-800</w:t>
            </w:r>
          </w:p>
        </w:tc>
        <w:tc>
          <w:tcPr>
            <w:tcW w:w="0" w:type="auto"/>
            <w:tcBorders>
              <w:top w:val="nil"/>
              <w:left w:val="nil"/>
              <w:bottom w:val="single" w:sz="4" w:space="0" w:color="auto"/>
              <w:right w:val="single" w:sz="4" w:space="0" w:color="auto"/>
            </w:tcBorders>
            <w:shd w:val="clear" w:color="auto" w:fill="auto"/>
            <w:vAlign w:val="center"/>
            <w:hideMark/>
          </w:tcPr>
          <w:p w14:paraId="0B44EEE8"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-800</w:t>
            </w:r>
          </w:p>
        </w:tc>
        <w:tc>
          <w:tcPr>
            <w:tcW w:w="0" w:type="auto"/>
            <w:tcBorders>
              <w:top w:val="nil"/>
              <w:left w:val="nil"/>
              <w:bottom w:val="single" w:sz="4" w:space="0" w:color="auto"/>
              <w:right w:val="single" w:sz="4" w:space="0" w:color="auto"/>
            </w:tcBorders>
            <w:shd w:val="clear" w:color="auto" w:fill="auto"/>
            <w:vAlign w:val="center"/>
            <w:hideMark/>
          </w:tcPr>
          <w:p w14:paraId="6E8E0129"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-800</w:t>
            </w:r>
          </w:p>
        </w:tc>
      </w:tr>
      <w:tr w:rsidR="009F421C" w:rsidRPr="009F421C" w14:paraId="45D074C7" w14:textId="77777777" w:rsidTr="009F421C">
        <w:trPr>
          <w:trHeight w:val="1935"/>
        </w:trPr>
        <w:tc>
          <w:tcPr>
            <w:tcW w:w="0" w:type="auto"/>
            <w:gridSpan w:val="6"/>
            <w:tcBorders>
              <w:top w:val="nil"/>
              <w:left w:val="single" w:sz="4" w:space="0" w:color="auto"/>
              <w:bottom w:val="single" w:sz="4" w:space="0" w:color="auto"/>
              <w:right w:val="single" w:sz="4" w:space="0" w:color="000000"/>
            </w:tcBorders>
            <w:shd w:val="clear" w:color="auto" w:fill="auto"/>
            <w:vAlign w:val="center"/>
            <w:hideMark/>
          </w:tcPr>
          <w:p w14:paraId="2AC795F4"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Sandnes kommune har hatt avtale med Sandnes Proservice om VTA-plasser siden 2004. I avtalen har kommunen betalt medfinansieringsandel på 29,7 prosent av statlig sats per plass. Kravet til kommunal egenandel i henhold til forskriften er minimum 25 prosent. Det skal nå inngås ny avtale og kommunen har vært tydelig på behov for å kutte kostnader gjennom redusert prosentsats. Gjennom reduksjon av kommunens andel fra 29,7 prosent til 25 prosent av statlig sats, kan kommunen spare om lag kr 800 000 kroner per år, gjeldende fra 2021.</w:t>
            </w:r>
          </w:p>
        </w:tc>
      </w:tr>
      <w:tr w:rsidR="009F421C" w:rsidRPr="009F421C" w14:paraId="0808E7F3" w14:textId="77777777" w:rsidTr="009F421C">
        <w:trPr>
          <w:trHeight w:val="51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91CC68A"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7. Redusere 1,9 årsverk </w:t>
            </w:r>
          </w:p>
        </w:tc>
        <w:tc>
          <w:tcPr>
            <w:tcW w:w="0" w:type="auto"/>
            <w:tcBorders>
              <w:top w:val="nil"/>
              <w:left w:val="nil"/>
              <w:bottom w:val="single" w:sz="4" w:space="0" w:color="auto"/>
              <w:right w:val="single" w:sz="4" w:space="0" w:color="auto"/>
            </w:tcBorders>
            <w:shd w:val="clear" w:color="auto" w:fill="auto"/>
            <w:vAlign w:val="center"/>
            <w:hideMark/>
          </w:tcPr>
          <w:p w14:paraId="0FF98A95"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-1 250</w:t>
            </w:r>
          </w:p>
        </w:tc>
        <w:tc>
          <w:tcPr>
            <w:tcW w:w="0" w:type="auto"/>
            <w:tcBorders>
              <w:top w:val="nil"/>
              <w:left w:val="nil"/>
              <w:bottom w:val="single" w:sz="4" w:space="0" w:color="auto"/>
              <w:right w:val="single" w:sz="4" w:space="0" w:color="auto"/>
            </w:tcBorders>
            <w:shd w:val="clear" w:color="auto" w:fill="auto"/>
            <w:vAlign w:val="center"/>
            <w:hideMark/>
          </w:tcPr>
          <w:p w14:paraId="73461F90"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-1 250</w:t>
            </w:r>
          </w:p>
        </w:tc>
        <w:tc>
          <w:tcPr>
            <w:tcW w:w="0" w:type="auto"/>
            <w:tcBorders>
              <w:top w:val="nil"/>
              <w:left w:val="nil"/>
              <w:bottom w:val="single" w:sz="4" w:space="0" w:color="auto"/>
              <w:right w:val="single" w:sz="4" w:space="0" w:color="auto"/>
            </w:tcBorders>
            <w:shd w:val="clear" w:color="auto" w:fill="auto"/>
            <w:vAlign w:val="center"/>
            <w:hideMark/>
          </w:tcPr>
          <w:p w14:paraId="6435C24F"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-1 250</w:t>
            </w:r>
          </w:p>
        </w:tc>
        <w:tc>
          <w:tcPr>
            <w:tcW w:w="0" w:type="auto"/>
            <w:tcBorders>
              <w:top w:val="nil"/>
              <w:left w:val="nil"/>
              <w:bottom w:val="single" w:sz="4" w:space="0" w:color="auto"/>
              <w:right w:val="single" w:sz="4" w:space="0" w:color="auto"/>
            </w:tcBorders>
            <w:shd w:val="clear" w:color="auto" w:fill="auto"/>
            <w:vAlign w:val="center"/>
            <w:hideMark/>
          </w:tcPr>
          <w:p w14:paraId="7D6C3939"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-1 250</w:t>
            </w:r>
          </w:p>
        </w:tc>
        <w:tc>
          <w:tcPr>
            <w:tcW w:w="0" w:type="auto"/>
            <w:tcBorders>
              <w:top w:val="nil"/>
              <w:left w:val="nil"/>
              <w:bottom w:val="single" w:sz="4" w:space="0" w:color="auto"/>
              <w:right w:val="single" w:sz="4" w:space="0" w:color="auto"/>
            </w:tcBorders>
            <w:shd w:val="clear" w:color="auto" w:fill="auto"/>
            <w:vAlign w:val="center"/>
            <w:hideMark/>
          </w:tcPr>
          <w:p w14:paraId="3BDC2875"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-1 250</w:t>
            </w:r>
          </w:p>
        </w:tc>
      </w:tr>
      <w:tr w:rsidR="009F421C" w:rsidRPr="009F421C" w14:paraId="00B24778" w14:textId="77777777" w:rsidTr="009F421C">
        <w:trPr>
          <w:trHeight w:val="96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58B707C7"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lastRenderedPageBreak/>
              <w:t xml:space="preserve">Virksomhetene </w:t>
            </w:r>
            <w:proofErr w:type="spellStart"/>
            <w:r w:rsidRPr="009F421C">
              <w:rPr>
                <w:rFonts w:ascii="Arial" w:eastAsia="Times New Roman" w:hAnsi="Arial" w:cs="Arial"/>
                <w:sz w:val="20"/>
                <w:szCs w:val="20"/>
                <w:lang w:eastAsia="nb-NO"/>
              </w:rPr>
              <w:t>fysio</w:t>
            </w:r>
            <w:proofErr w:type="spellEnd"/>
            <w:r w:rsidRPr="009F421C">
              <w:rPr>
                <w:rFonts w:ascii="Arial" w:eastAsia="Times New Roman" w:hAnsi="Arial" w:cs="Arial"/>
                <w:sz w:val="20"/>
                <w:szCs w:val="20"/>
                <w:lang w:eastAsia="nb-NO"/>
              </w:rPr>
              <w:t xml:space="preserve">-ergotjenestene, boligtjenesten og </w:t>
            </w:r>
            <w:proofErr w:type="spellStart"/>
            <w:r w:rsidRPr="009F421C">
              <w:rPr>
                <w:rFonts w:ascii="Arial" w:eastAsia="Times New Roman" w:hAnsi="Arial" w:cs="Arial"/>
                <w:sz w:val="20"/>
                <w:szCs w:val="20"/>
                <w:lang w:eastAsia="nb-NO"/>
              </w:rPr>
              <w:t>flyktningenheten</w:t>
            </w:r>
            <w:proofErr w:type="spellEnd"/>
            <w:r w:rsidRPr="009F421C">
              <w:rPr>
                <w:rFonts w:ascii="Arial" w:eastAsia="Times New Roman" w:hAnsi="Arial" w:cs="Arial"/>
                <w:sz w:val="20"/>
                <w:szCs w:val="20"/>
                <w:lang w:eastAsia="nb-NO"/>
              </w:rPr>
              <w:t xml:space="preserve"> reduserer til sammen 1,9 årsverk, tilsvarende kr 1,25 millioner kroner. På grunn av vakanser er dette realiserbart fra 2020.</w:t>
            </w:r>
          </w:p>
        </w:tc>
      </w:tr>
      <w:tr w:rsidR="009F421C" w:rsidRPr="009F421C" w14:paraId="2898FDAC" w14:textId="77777777" w:rsidTr="009F421C">
        <w:trPr>
          <w:trHeight w:val="10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526C88D4"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8. Redusere 2 årsverk Mestringsenheten</w:t>
            </w:r>
          </w:p>
        </w:tc>
        <w:tc>
          <w:tcPr>
            <w:tcW w:w="0" w:type="auto"/>
            <w:tcBorders>
              <w:top w:val="nil"/>
              <w:left w:val="nil"/>
              <w:bottom w:val="single" w:sz="4" w:space="0" w:color="auto"/>
              <w:right w:val="single" w:sz="4" w:space="0" w:color="auto"/>
            </w:tcBorders>
            <w:shd w:val="clear" w:color="auto" w:fill="auto"/>
            <w:vAlign w:val="center"/>
            <w:hideMark/>
          </w:tcPr>
          <w:p w14:paraId="28CA1CBD"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-800</w:t>
            </w:r>
          </w:p>
        </w:tc>
        <w:tc>
          <w:tcPr>
            <w:tcW w:w="0" w:type="auto"/>
            <w:tcBorders>
              <w:top w:val="nil"/>
              <w:left w:val="nil"/>
              <w:bottom w:val="single" w:sz="4" w:space="0" w:color="auto"/>
              <w:right w:val="single" w:sz="4" w:space="0" w:color="auto"/>
            </w:tcBorders>
            <w:shd w:val="clear" w:color="auto" w:fill="auto"/>
            <w:vAlign w:val="center"/>
            <w:hideMark/>
          </w:tcPr>
          <w:p w14:paraId="6CBD36EE"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-1 600</w:t>
            </w:r>
          </w:p>
        </w:tc>
        <w:tc>
          <w:tcPr>
            <w:tcW w:w="0" w:type="auto"/>
            <w:tcBorders>
              <w:top w:val="nil"/>
              <w:left w:val="nil"/>
              <w:bottom w:val="single" w:sz="4" w:space="0" w:color="auto"/>
              <w:right w:val="single" w:sz="4" w:space="0" w:color="auto"/>
            </w:tcBorders>
            <w:shd w:val="clear" w:color="auto" w:fill="auto"/>
            <w:vAlign w:val="center"/>
            <w:hideMark/>
          </w:tcPr>
          <w:p w14:paraId="31F1321C"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-1 600</w:t>
            </w:r>
          </w:p>
        </w:tc>
        <w:tc>
          <w:tcPr>
            <w:tcW w:w="0" w:type="auto"/>
            <w:tcBorders>
              <w:top w:val="nil"/>
              <w:left w:val="nil"/>
              <w:bottom w:val="single" w:sz="4" w:space="0" w:color="auto"/>
              <w:right w:val="single" w:sz="4" w:space="0" w:color="auto"/>
            </w:tcBorders>
            <w:shd w:val="clear" w:color="auto" w:fill="auto"/>
            <w:vAlign w:val="center"/>
            <w:hideMark/>
          </w:tcPr>
          <w:p w14:paraId="0D1C3A83"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-1 600</w:t>
            </w:r>
          </w:p>
        </w:tc>
        <w:tc>
          <w:tcPr>
            <w:tcW w:w="0" w:type="auto"/>
            <w:tcBorders>
              <w:top w:val="nil"/>
              <w:left w:val="nil"/>
              <w:bottom w:val="single" w:sz="4" w:space="0" w:color="auto"/>
              <w:right w:val="single" w:sz="4" w:space="0" w:color="auto"/>
            </w:tcBorders>
            <w:shd w:val="clear" w:color="auto" w:fill="auto"/>
            <w:vAlign w:val="center"/>
            <w:hideMark/>
          </w:tcPr>
          <w:p w14:paraId="0EFD5B01"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-1 600</w:t>
            </w:r>
          </w:p>
        </w:tc>
      </w:tr>
      <w:tr w:rsidR="009F421C" w:rsidRPr="009F421C" w14:paraId="45AA1649" w14:textId="77777777" w:rsidTr="009F421C">
        <w:trPr>
          <w:trHeight w:val="91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10486DD4"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Mestringsenheten reduserer 2 årsverk i samlokaliserte boliger (bofellesskap) for innbyggere med psykiske lidelser. Dette gir halvårsvirkning på kr 800 000 i 2020, og fra 2021 helårsvirkning med kr 1,6 millioner. </w:t>
            </w:r>
          </w:p>
        </w:tc>
      </w:tr>
      <w:tr w:rsidR="009F421C" w:rsidRPr="009F421C" w14:paraId="3D34B9D2" w14:textId="77777777" w:rsidTr="009F421C">
        <w:trPr>
          <w:trHeight w:val="10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2925D82C"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 xml:space="preserve">11. Avvikle kommunal tilleggspensjon </w:t>
            </w:r>
          </w:p>
        </w:tc>
        <w:tc>
          <w:tcPr>
            <w:tcW w:w="0" w:type="auto"/>
            <w:tcBorders>
              <w:top w:val="nil"/>
              <w:left w:val="nil"/>
              <w:bottom w:val="single" w:sz="4" w:space="0" w:color="auto"/>
              <w:right w:val="single" w:sz="4" w:space="0" w:color="auto"/>
            </w:tcBorders>
            <w:shd w:val="clear" w:color="auto" w:fill="auto"/>
            <w:vAlign w:val="center"/>
            <w:hideMark/>
          </w:tcPr>
          <w:p w14:paraId="2BE2C7CF"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-150</w:t>
            </w:r>
          </w:p>
        </w:tc>
        <w:tc>
          <w:tcPr>
            <w:tcW w:w="0" w:type="auto"/>
            <w:tcBorders>
              <w:top w:val="nil"/>
              <w:left w:val="nil"/>
              <w:bottom w:val="single" w:sz="4" w:space="0" w:color="auto"/>
              <w:right w:val="single" w:sz="4" w:space="0" w:color="auto"/>
            </w:tcBorders>
            <w:shd w:val="clear" w:color="auto" w:fill="auto"/>
            <w:vAlign w:val="center"/>
            <w:hideMark/>
          </w:tcPr>
          <w:p w14:paraId="3618100A"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-150</w:t>
            </w:r>
          </w:p>
        </w:tc>
        <w:tc>
          <w:tcPr>
            <w:tcW w:w="0" w:type="auto"/>
            <w:tcBorders>
              <w:top w:val="nil"/>
              <w:left w:val="nil"/>
              <w:bottom w:val="single" w:sz="4" w:space="0" w:color="auto"/>
              <w:right w:val="single" w:sz="4" w:space="0" w:color="auto"/>
            </w:tcBorders>
            <w:shd w:val="clear" w:color="auto" w:fill="auto"/>
            <w:vAlign w:val="center"/>
            <w:hideMark/>
          </w:tcPr>
          <w:p w14:paraId="542C202E"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-150</w:t>
            </w:r>
          </w:p>
        </w:tc>
        <w:tc>
          <w:tcPr>
            <w:tcW w:w="0" w:type="auto"/>
            <w:tcBorders>
              <w:top w:val="nil"/>
              <w:left w:val="nil"/>
              <w:bottom w:val="single" w:sz="4" w:space="0" w:color="auto"/>
              <w:right w:val="single" w:sz="4" w:space="0" w:color="auto"/>
            </w:tcBorders>
            <w:shd w:val="clear" w:color="auto" w:fill="auto"/>
            <w:vAlign w:val="center"/>
            <w:hideMark/>
          </w:tcPr>
          <w:p w14:paraId="3BDB68AA"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-150</w:t>
            </w:r>
          </w:p>
        </w:tc>
        <w:tc>
          <w:tcPr>
            <w:tcW w:w="0" w:type="auto"/>
            <w:tcBorders>
              <w:top w:val="nil"/>
              <w:left w:val="nil"/>
              <w:bottom w:val="single" w:sz="4" w:space="0" w:color="auto"/>
              <w:right w:val="single" w:sz="4" w:space="0" w:color="auto"/>
            </w:tcBorders>
            <w:shd w:val="clear" w:color="auto" w:fill="auto"/>
            <w:vAlign w:val="center"/>
            <w:hideMark/>
          </w:tcPr>
          <w:p w14:paraId="6B4B276F" w14:textId="77777777" w:rsidR="009F421C" w:rsidRPr="009F421C" w:rsidRDefault="009F421C" w:rsidP="009F421C">
            <w:pPr>
              <w:spacing w:after="0" w:line="240" w:lineRule="auto"/>
              <w:jc w:val="right"/>
              <w:rPr>
                <w:rFonts w:ascii="Arial" w:eastAsia="Times New Roman" w:hAnsi="Arial" w:cs="Arial"/>
                <w:sz w:val="20"/>
                <w:szCs w:val="20"/>
                <w:lang w:eastAsia="nb-NO"/>
              </w:rPr>
            </w:pPr>
            <w:r w:rsidRPr="009F421C">
              <w:rPr>
                <w:rFonts w:ascii="Arial" w:eastAsia="Times New Roman" w:hAnsi="Arial" w:cs="Arial"/>
                <w:sz w:val="20"/>
                <w:szCs w:val="20"/>
                <w:lang w:eastAsia="nb-NO"/>
              </w:rPr>
              <w:t>-150</w:t>
            </w:r>
          </w:p>
        </w:tc>
      </w:tr>
      <w:tr w:rsidR="009F421C" w:rsidRPr="009F421C" w14:paraId="1068CDA1" w14:textId="77777777" w:rsidTr="009F421C">
        <w:trPr>
          <w:trHeight w:val="144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AC987BB" w14:textId="77777777" w:rsidR="009F421C" w:rsidRPr="009F421C" w:rsidRDefault="009F421C" w:rsidP="009F421C">
            <w:pPr>
              <w:spacing w:after="0" w:line="240" w:lineRule="auto"/>
              <w:rPr>
                <w:rFonts w:ascii="Arial" w:eastAsia="Times New Roman" w:hAnsi="Arial" w:cs="Arial"/>
                <w:sz w:val="20"/>
                <w:szCs w:val="20"/>
                <w:lang w:eastAsia="nb-NO"/>
              </w:rPr>
            </w:pPr>
            <w:r w:rsidRPr="009F421C">
              <w:rPr>
                <w:rFonts w:ascii="Arial" w:eastAsia="Times New Roman" w:hAnsi="Arial" w:cs="Arial"/>
                <w:sz w:val="20"/>
                <w:szCs w:val="20"/>
                <w:lang w:eastAsia="nb-NO"/>
              </w:rPr>
              <w:t>Kommunal tilleggspensjon avvikles fordi stønaden ikke er pliktmessig. Det er innført en statlig NAV-ytelse «supplerende stønad» som kan erstatte denne ytelsen for de berørte. Kommunal tilleggspensjon slik den utbetales nå, kan resultere i avkortet bostøtte fra Husbanken, og i sum en negativ virkning for den enkelte. Helårsvirkning av avviklingen er kr 150 000.</w:t>
            </w:r>
          </w:p>
        </w:tc>
      </w:tr>
    </w:tbl>
    <w:p w14:paraId="0E9606CC" w14:textId="77777777" w:rsidR="00851D28" w:rsidRDefault="00851D28"/>
    <w:sectPr w:rsidR="00851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76AE4"/>
    <w:multiLevelType w:val="multilevel"/>
    <w:tmpl w:val="F8CC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8E7A35"/>
    <w:rsid w:val="00185FAE"/>
    <w:rsid w:val="001873CE"/>
    <w:rsid w:val="002336AF"/>
    <w:rsid w:val="00252002"/>
    <w:rsid w:val="002F45A9"/>
    <w:rsid w:val="00332AC7"/>
    <w:rsid w:val="00513D37"/>
    <w:rsid w:val="00552B9A"/>
    <w:rsid w:val="0057084E"/>
    <w:rsid w:val="005F727A"/>
    <w:rsid w:val="00687405"/>
    <w:rsid w:val="00774B15"/>
    <w:rsid w:val="00851D28"/>
    <w:rsid w:val="0099544D"/>
    <w:rsid w:val="009F421C"/>
    <w:rsid w:val="00A23ED2"/>
    <w:rsid w:val="00A53961"/>
    <w:rsid w:val="00BD723A"/>
    <w:rsid w:val="00BF6E0B"/>
    <w:rsid w:val="00C6534C"/>
    <w:rsid w:val="00C77EF6"/>
    <w:rsid w:val="00E70F0B"/>
    <w:rsid w:val="00F45839"/>
    <w:rsid w:val="00F803F3"/>
    <w:rsid w:val="00FA179B"/>
    <w:rsid w:val="00FB0313"/>
    <w:rsid w:val="00FE7451"/>
    <w:rsid w:val="258E7A35"/>
    <w:rsid w:val="7B6DD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783"/>
  <w15:chartTrackingRefBased/>
  <w15:docId w15:val="{55436CF2-098E-4E6D-A1E5-4FBF2C7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5396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53961"/>
  </w:style>
  <w:style w:type="character" w:customStyle="1" w:styleId="eop">
    <w:name w:val="eop"/>
    <w:basedOn w:val="Standardskriftforavsnitt"/>
    <w:rsid w:val="00A5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9142">
      <w:bodyDiv w:val="1"/>
      <w:marLeft w:val="0"/>
      <w:marRight w:val="0"/>
      <w:marTop w:val="0"/>
      <w:marBottom w:val="0"/>
      <w:divBdr>
        <w:top w:val="none" w:sz="0" w:space="0" w:color="auto"/>
        <w:left w:val="none" w:sz="0" w:space="0" w:color="auto"/>
        <w:bottom w:val="none" w:sz="0" w:space="0" w:color="auto"/>
        <w:right w:val="none" w:sz="0" w:space="0" w:color="auto"/>
      </w:divBdr>
    </w:div>
    <w:div w:id="778716012">
      <w:bodyDiv w:val="1"/>
      <w:marLeft w:val="0"/>
      <w:marRight w:val="0"/>
      <w:marTop w:val="0"/>
      <w:marBottom w:val="0"/>
      <w:divBdr>
        <w:top w:val="none" w:sz="0" w:space="0" w:color="auto"/>
        <w:left w:val="none" w:sz="0" w:space="0" w:color="auto"/>
        <w:bottom w:val="none" w:sz="0" w:space="0" w:color="auto"/>
        <w:right w:val="none" w:sz="0" w:space="0" w:color="auto"/>
      </w:divBdr>
      <w:divsChild>
        <w:div w:id="1509712632">
          <w:marLeft w:val="0"/>
          <w:marRight w:val="0"/>
          <w:marTop w:val="0"/>
          <w:marBottom w:val="0"/>
          <w:divBdr>
            <w:top w:val="none" w:sz="0" w:space="0" w:color="auto"/>
            <w:left w:val="none" w:sz="0" w:space="0" w:color="auto"/>
            <w:bottom w:val="none" w:sz="0" w:space="0" w:color="auto"/>
            <w:right w:val="none" w:sz="0" w:space="0" w:color="auto"/>
          </w:divBdr>
          <w:divsChild>
            <w:div w:id="278997251">
              <w:marLeft w:val="0"/>
              <w:marRight w:val="0"/>
              <w:marTop w:val="0"/>
              <w:marBottom w:val="0"/>
              <w:divBdr>
                <w:top w:val="none" w:sz="0" w:space="0" w:color="auto"/>
                <w:left w:val="none" w:sz="0" w:space="0" w:color="auto"/>
                <w:bottom w:val="none" w:sz="0" w:space="0" w:color="auto"/>
                <w:right w:val="none" w:sz="0" w:space="0" w:color="auto"/>
              </w:divBdr>
            </w:div>
          </w:divsChild>
        </w:div>
        <w:div w:id="1687245791">
          <w:marLeft w:val="0"/>
          <w:marRight w:val="0"/>
          <w:marTop w:val="0"/>
          <w:marBottom w:val="0"/>
          <w:divBdr>
            <w:top w:val="none" w:sz="0" w:space="0" w:color="auto"/>
            <w:left w:val="none" w:sz="0" w:space="0" w:color="auto"/>
            <w:bottom w:val="none" w:sz="0" w:space="0" w:color="auto"/>
            <w:right w:val="none" w:sz="0" w:space="0" w:color="auto"/>
          </w:divBdr>
        </w:div>
      </w:divsChild>
    </w:div>
    <w:div w:id="851069064">
      <w:marLeft w:val="0"/>
      <w:marRight w:val="0"/>
      <w:marTop w:val="0"/>
      <w:marBottom w:val="0"/>
      <w:divBdr>
        <w:top w:val="none" w:sz="0" w:space="0" w:color="auto"/>
        <w:left w:val="none" w:sz="0" w:space="0" w:color="auto"/>
        <w:bottom w:val="none" w:sz="0" w:space="0" w:color="auto"/>
        <w:right w:val="none" w:sz="0" w:space="0" w:color="auto"/>
      </w:divBdr>
    </w:div>
    <w:div w:id="914364640">
      <w:bodyDiv w:val="1"/>
      <w:marLeft w:val="0"/>
      <w:marRight w:val="0"/>
      <w:marTop w:val="0"/>
      <w:marBottom w:val="0"/>
      <w:divBdr>
        <w:top w:val="none" w:sz="0" w:space="0" w:color="auto"/>
        <w:left w:val="none" w:sz="0" w:space="0" w:color="auto"/>
        <w:bottom w:val="none" w:sz="0" w:space="0" w:color="auto"/>
        <w:right w:val="none" w:sz="0" w:space="0" w:color="auto"/>
      </w:divBdr>
    </w:div>
    <w:div w:id="1153448309">
      <w:bodyDiv w:val="1"/>
      <w:marLeft w:val="0"/>
      <w:marRight w:val="0"/>
      <w:marTop w:val="0"/>
      <w:marBottom w:val="0"/>
      <w:divBdr>
        <w:top w:val="none" w:sz="0" w:space="0" w:color="auto"/>
        <w:left w:val="none" w:sz="0" w:space="0" w:color="auto"/>
        <w:bottom w:val="none" w:sz="0" w:space="0" w:color="auto"/>
        <w:right w:val="none" w:sz="0" w:space="0" w:color="auto"/>
      </w:divBdr>
      <w:divsChild>
        <w:div w:id="1794519963">
          <w:marLeft w:val="0"/>
          <w:marRight w:val="0"/>
          <w:marTop w:val="0"/>
          <w:marBottom w:val="0"/>
          <w:divBdr>
            <w:top w:val="none" w:sz="0" w:space="0" w:color="auto"/>
            <w:left w:val="none" w:sz="0" w:space="0" w:color="auto"/>
            <w:bottom w:val="none" w:sz="0" w:space="0" w:color="auto"/>
            <w:right w:val="none" w:sz="0" w:space="0" w:color="auto"/>
          </w:divBdr>
        </w:div>
        <w:div w:id="1416974023">
          <w:marLeft w:val="0"/>
          <w:marRight w:val="0"/>
          <w:marTop w:val="0"/>
          <w:marBottom w:val="0"/>
          <w:divBdr>
            <w:top w:val="none" w:sz="0" w:space="0" w:color="auto"/>
            <w:left w:val="none" w:sz="0" w:space="0" w:color="auto"/>
            <w:bottom w:val="none" w:sz="0" w:space="0" w:color="auto"/>
            <w:right w:val="none" w:sz="0" w:space="0" w:color="auto"/>
          </w:divBdr>
        </w:div>
      </w:divsChild>
    </w:div>
    <w:div w:id="1489901225">
      <w:marLeft w:val="0"/>
      <w:marRight w:val="0"/>
      <w:marTop w:val="0"/>
      <w:marBottom w:val="0"/>
      <w:divBdr>
        <w:top w:val="none" w:sz="0" w:space="0" w:color="auto"/>
        <w:left w:val="none" w:sz="0" w:space="0" w:color="auto"/>
        <w:bottom w:val="none" w:sz="0" w:space="0" w:color="auto"/>
        <w:right w:val="none" w:sz="0" w:space="0" w:color="auto"/>
      </w:divBdr>
      <w:divsChild>
        <w:div w:id="536356755">
          <w:marLeft w:val="0"/>
          <w:marRight w:val="0"/>
          <w:marTop w:val="0"/>
          <w:marBottom w:val="0"/>
          <w:divBdr>
            <w:top w:val="none" w:sz="0" w:space="0" w:color="auto"/>
            <w:left w:val="none" w:sz="0" w:space="0" w:color="auto"/>
            <w:bottom w:val="none" w:sz="0" w:space="0" w:color="auto"/>
            <w:right w:val="none" w:sz="0" w:space="0" w:color="auto"/>
          </w:divBdr>
        </w:div>
      </w:divsChild>
    </w:div>
    <w:div w:id="1967587782">
      <w:bodyDiv w:val="1"/>
      <w:marLeft w:val="0"/>
      <w:marRight w:val="0"/>
      <w:marTop w:val="0"/>
      <w:marBottom w:val="0"/>
      <w:divBdr>
        <w:top w:val="none" w:sz="0" w:space="0" w:color="auto"/>
        <w:left w:val="none" w:sz="0" w:space="0" w:color="auto"/>
        <w:bottom w:val="none" w:sz="0" w:space="0" w:color="auto"/>
        <w:right w:val="none" w:sz="0" w:space="0" w:color="auto"/>
      </w:divBdr>
      <w:divsChild>
        <w:div w:id="155623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2364504C0774B91A8C83906C34E2B" ma:contentTypeVersion="6" ma:contentTypeDescription="Create a new document." ma:contentTypeScope="" ma:versionID="e4fadcfb252aec971ce049561595e4c6">
  <xsd:schema xmlns:xsd="http://www.w3.org/2001/XMLSchema" xmlns:xs="http://www.w3.org/2001/XMLSchema" xmlns:p="http://schemas.microsoft.com/office/2006/metadata/properties" xmlns:ns2="6719592d-42f9-4331-a016-1868470944c5" xmlns:ns3="df25a99a-1c69-45a9-93ff-ed73211d2714" targetNamespace="http://schemas.microsoft.com/office/2006/metadata/properties" ma:root="true" ma:fieldsID="10c9e9adbdacfd98ecad7cafa7fab79b" ns2:_="" ns3:_="">
    <xsd:import namespace="6719592d-42f9-4331-a016-1868470944c5"/>
    <xsd:import namespace="df25a99a-1c69-45a9-93ff-ed73211d27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9592d-42f9-4331-a016-186847094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5a99a-1c69-45a9-93ff-ed73211d2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C72BB-7D76-49D1-B877-3D926EEF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9592d-42f9-4331-a016-1868470944c5"/>
    <ds:schemaRef ds:uri="df25a99a-1c69-45a9-93ff-ed73211d2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1EC36-4AD4-47E4-9AA1-D83B62B3CF66}">
  <ds:schemaRefs>
    <ds:schemaRef ds:uri="http://schemas.microsoft.com/sharepoint/v3/contenttype/forms"/>
  </ds:schemaRefs>
</ds:datastoreItem>
</file>

<file path=customXml/itemProps3.xml><?xml version="1.0" encoding="utf-8"?>
<ds:datastoreItem xmlns:ds="http://schemas.openxmlformats.org/officeDocument/2006/customXml" ds:itemID="{C43825B2-9E9A-459A-8E97-DBF3B04F9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651</Words>
  <Characters>3451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Jan Vegar</dc:creator>
  <cp:keywords/>
  <dc:description/>
  <cp:lastModifiedBy>Knutsen, Jan Vegar</cp:lastModifiedBy>
  <cp:revision>26</cp:revision>
  <dcterms:created xsi:type="dcterms:W3CDTF">2020-06-07T14:32:00Z</dcterms:created>
  <dcterms:modified xsi:type="dcterms:W3CDTF">2020-06-08T07:01:00Z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0x0101001122364504C0774B91A8C83906C34E2B</vt:lpwstr>
  </property>
</Properties>
</file>